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91E" w:rsidRDefault="0031691E" w:rsidP="0031691E">
      <w:pPr>
        <w:spacing w:before="80" w:after="80" w:line="240" w:lineRule="auto"/>
        <w:ind w:left="540" w:right="-720"/>
        <w:rPr>
          <w:rFonts w:asciiTheme="majorHAnsi" w:eastAsia="Alegreya" w:hAnsiTheme="majorHAnsi" w:cstheme="majorHAnsi"/>
          <w:lang w:val="en"/>
        </w:rPr>
      </w:pPr>
      <w:r w:rsidRPr="0031691E">
        <w:rPr>
          <w:rFonts w:asciiTheme="majorHAnsi" w:eastAsia="Alegreya" w:hAnsiTheme="majorHAnsi" w:cstheme="majorHAnsi"/>
          <w:noProof/>
          <w:lang w:val="en"/>
        </w:rPr>
        <mc:AlternateContent>
          <mc:Choice Requires="wps">
            <w:drawing>
              <wp:anchor distT="0" distB="0" distL="114300" distR="114300" simplePos="0" relativeHeight="251671552" behindDoc="1" locked="0" layoutInCell="1" allowOverlap="1" wp14:anchorId="4663B401" wp14:editId="79FD71FC">
                <wp:simplePos x="0" y="0"/>
                <wp:positionH relativeFrom="column">
                  <wp:posOffset>-141605</wp:posOffset>
                </wp:positionH>
                <wp:positionV relativeFrom="paragraph">
                  <wp:posOffset>240030</wp:posOffset>
                </wp:positionV>
                <wp:extent cx="1438275" cy="485775"/>
                <wp:effectExtent l="0" t="0" r="28575" b="28575"/>
                <wp:wrapTight wrapText="bothSides">
                  <wp:wrapPolygon edited="0">
                    <wp:start x="0" y="0"/>
                    <wp:lineTo x="0" y="22024"/>
                    <wp:lineTo x="21743" y="22024"/>
                    <wp:lineTo x="21743"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5775"/>
                        </a:xfrm>
                        <a:prstGeom prst="rect">
                          <a:avLst/>
                        </a:prstGeom>
                        <a:solidFill>
                          <a:srgbClr val="FFFFFF"/>
                        </a:solidFill>
                        <a:ln w="9525">
                          <a:solidFill>
                            <a:srgbClr val="000000"/>
                          </a:solidFill>
                          <a:miter lim="800000"/>
                          <a:headEnd/>
                          <a:tailEnd/>
                        </a:ln>
                      </wps:spPr>
                      <wps:txbx>
                        <w:txbxContent>
                          <w:p w:rsidR="0031691E" w:rsidRPr="00CD3BB1" w:rsidRDefault="0031691E" w:rsidP="00C40736">
                            <w:pPr>
                              <w:jc w:val="center"/>
                              <w:rPr>
                                <w:rFonts w:ascii="Corbel" w:hAnsi="Corbel"/>
                                <w:sz w:val="32"/>
                                <w:szCs w:val="32"/>
                              </w:rPr>
                            </w:pPr>
                            <w:r w:rsidRPr="00CD3BB1">
                              <w:rPr>
                                <w:rFonts w:ascii="Corbel" w:hAnsi="Corbel"/>
                                <w:sz w:val="56"/>
                                <w:szCs w:val="56"/>
                              </w:rPr>
                              <w:t>I</w:t>
                            </w:r>
                            <w:r w:rsidRPr="00CD3BB1">
                              <w:rPr>
                                <w:rFonts w:ascii="Corbel" w:hAnsi="Corbel"/>
                                <w:sz w:val="32"/>
                                <w:szCs w:val="32"/>
                              </w:rPr>
                              <w:t>ntroduction: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63B401" id="_x0000_t202" coordsize="21600,21600" o:spt="202" path="m,l,21600r21600,l21600,xe">
                <v:stroke joinstyle="miter"/>
                <v:path gradientshapeok="t" o:connecttype="rect"/>
              </v:shapetype>
              <v:shape id="Text Box 2" o:spid="_x0000_s1026" type="#_x0000_t202" style="position:absolute;left:0;text-align:left;margin-left:-11.15pt;margin-top:18.9pt;width:113.25pt;height:38.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">
                <v:textbox>
                  <w:txbxContent>
                    <w:p w:rsidR="0031691E" w:rsidRPr="00CD3BB1" w:rsidRDefault="0031691E" w:rsidP="00C40736">
                      <w:pPr>
                        <w:jc w:val="center"/>
                        <w:rPr>
                          <w:rFonts w:ascii="Corbel" w:hAnsi="Corbel"/>
                          <w:sz w:val="32"/>
                          <w:szCs w:val="32"/>
                        </w:rPr>
                      </w:pPr>
                      <w:r w:rsidRPr="00CD3BB1">
                        <w:rPr>
                          <w:rFonts w:ascii="Corbel" w:hAnsi="Corbel"/>
                          <w:sz w:val="56"/>
                          <w:szCs w:val="56"/>
                        </w:rPr>
                        <w:t>I</w:t>
                      </w:r>
                      <w:r w:rsidRPr="00CD3BB1">
                        <w:rPr>
                          <w:rFonts w:ascii="Corbel" w:hAnsi="Corbel"/>
                          <w:sz w:val="32"/>
                          <w:szCs w:val="32"/>
                        </w:rPr>
                        <w:t>ntroduction:</w:t>
                      </w:r>
                    </w:p>
                  </w:txbxContent>
                </v:textbox>
                <w10:wrap type="tight"/>
              </v:shape>
            </w:pict>
          </mc:Fallback>
        </mc:AlternateContent>
      </w:r>
    </w:p>
    <w:p w:rsidR="00424E39" w:rsidRDefault="0031691E" w:rsidP="003C6C9A">
      <w:pPr>
        <w:tabs>
          <w:tab w:val="left" w:pos="10620"/>
        </w:tabs>
        <w:spacing w:before="80" w:after="80" w:line="240" w:lineRule="auto"/>
        <w:ind w:left="90" w:right="36"/>
        <w:rPr>
          <w:rFonts w:asciiTheme="majorHAnsi" w:eastAsia="Alegreya" w:hAnsiTheme="majorHAnsi" w:cstheme="majorHAnsi"/>
          <w:lang w:val="en"/>
        </w:rPr>
      </w:pPr>
      <w:r w:rsidRPr="0031691E">
        <w:rPr>
          <w:rFonts w:asciiTheme="majorHAnsi" w:eastAsia="Alegreya" w:hAnsiTheme="majorHAnsi" w:cstheme="majorHAnsi"/>
          <w:lang w:val="en"/>
        </w:rPr>
        <w:t xml:space="preserve">Community rehabilitation programs (CRPs) </w:t>
      </w:r>
      <w:r w:rsidR="00981E28">
        <w:rPr>
          <w:rFonts w:asciiTheme="majorHAnsi" w:eastAsia="Alegreya" w:hAnsiTheme="majorHAnsi" w:cstheme="majorHAnsi"/>
          <w:lang w:val="en"/>
        </w:rPr>
        <w:t>report that they have varying experiences with effectively partnering with schools to support students with disabilities.  Often</w:t>
      </w:r>
      <w:r w:rsidR="00E06D05">
        <w:rPr>
          <w:rFonts w:asciiTheme="majorHAnsi" w:eastAsia="Alegreya" w:hAnsiTheme="majorHAnsi" w:cstheme="majorHAnsi"/>
          <w:lang w:val="en"/>
        </w:rPr>
        <w:t>,</w:t>
      </w:r>
      <w:r w:rsidR="00981E28">
        <w:rPr>
          <w:rFonts w:asciiTheme="majorHAnsi" w:eastAsia="Alegreya" w:hAnsiTheme="majorHAnsi" w:cstheme="majorHAnsi"/>
          <w:lang w:val="en"/>
        </w:rPr>
        <w:t xml:space="preserve"> CRPs will express that it can be difficult to be </w:t>
      </w:r>
      <w:r w:rsidR="003C6C9A">
        <w:rPr>
          <w:rFonts w:asciiTheme="majorHAnsi" w:eastAsia="Alegreya" w:hAnsiTheme="majorHAnsi" w:cstheme="majorHAnsi"/>
          <w:lang w:val="en"/>
        </w:rPr>
        <w:t>included</w:t>
      </w:r>
      <w:r w:rsidR="00981E28">
        <w:rPr>
          <w:rFonts w:asciiTheme="majorHAnsi" w:eastAsia="Alegreya" w:hAnsiTheme="majorHAnsi" w:cstheme="majorHAnsi"/>
          <w:lang w:val="en"/>
        </w:rPr>
        <w:t xml:space="preserve"> as a partner in supporting </w:t>
      </w:r>
      <w:r w:rsidR="003C6C9A">
        <w:rPr>
          <w:rFonts w:asciiTheme="majorHAnsi" w:eastAsia="Alegreya" w:hAnsiTheme="majorHAnsi" w:cstheme="majorHAnsi"/>
          <w:lang w:val="en"/>
        </w:rPr>
        <w:t>youth</w:t>
      </w:r>
      <w:r w:rsidR="00981E28">
        <w:rPr>
          <w:rFonts w:asciiTheme="majorHAnsi" w:eastAsia="Alegreya" w:hAnsiTheme="majorHAnsi" w:cstheme="majorHAnsi"/>
          <w:lang w:val="en"/>
        </w:rPr>
        <w:t xml:space="preserve"> with disabilities</w:t>
      </w:r>
      <w:r w:rsidR="003C6C9A">
        <w:rPr>
          <w:rFonts w:asciiTheme="majorHAnsi" w:eastAsia="Alegreya" w:hAnsiTheme="majorHAnsi" w:cstheme="majorHAnsi"/>
          <w:lang w:val="en"/>
        </w:rPr>
        <w:t xml:space="preserve"> while they are still in school</w:t>
      </w:r>
      <w:r w:rsidR="00981E28">
        <w:rPr>
          <w:rFonts w:asciiTheme="majorHAnsi" w:eastAsia="Alegreya" w:hAnsiTheme="majorHAnsi" w:cstheme="majorHAnsi"/>
          <w:lang w:val="en"/>
        </w:rPr>
        <w:t xml:space="preserve">.  As a partner, CRPs bring a unique set of valuable skills and resources that can assist </w:t>
      </w:r>
      <w:r w:rsidR="003C6C9A">
        <w:rPr>
          <w:rFonts w:asciiTheme="majorHAnsi" w:eastAsia="Alegreya" w:hAnsiTheme="majorHAnsi" w:cstheme="majorHAnsi"/>
          <w:lang w:val="en"/>
        </w:rPr>
        <w:t xml:space="preserve">students with preparation and transition </w:t>
      </w:r>
      <w:r w:rsidRPr="0031691E">
        <w:rPr>
          <w:rFonts w:asciiTheme="majorHAnsi" w:eastAsia="Alegreya" w:hAnsiTheme="majorHAnsi" w:cstheme="majorHAnsi"/>
          <w:lang w:val="en"/>
        </w:rPr>
        <w:t xml:space="preserve">from high school </w:t>
      </w:r>
      <w:r w:rsidR="003C6C9A">
        <w:rPr>
          <w:rFonts w:asciiTheme="majorHAnsi" w:eastAsia="Alegreya" w:hAnsiTheme="majorHAnsi" w:cstheme="majorHAnsi"/>
          <w:lang w:val="en"/>
        </w:rPr>
        <w:t>in</w:t>
      </w:r>
      <w:r w:rsidRPr="0031691E">
        <w:rPr>
          <w:rFonts w:asciiTheme="majorHAnsi" w:eastAsia="Alegreya" w:hAnsiTheme="majorHAnsi" w:cstheme="majorHAnsi"/>
          <w:lang w:val="en"/>
        </w:rPr>
        <w:t xml:space="preserve">to competitive integrated employment. </w:t>
      </w:r>
      <w:r w:rsidR="00D64086">
        <w:rPr>
          <w:rFonts w:asciiTheme="majorHAnsi" w:eastAsia="Alegreya" w:hAnsiTheme="majorHAnsi" w:cstheme="majorHAnsi"/>
          <w:lang w:val="en"/>
        </w:rPr>
        <w:t xml:space="preserve"> </w:t>
      </w:r>
    </w:p>
    <w:p w:rsidR="003C6C9A" w:rsidRPr="005B7582" w:rsidRDefault="003C6C9A" w:rsidP="003C6C9A">
      <w:pPr>
        <w:tabs>
          <w:tab w:val="left" w:pos="10620"/>
        </w:tabs>
        <w:spacing w:before="80" w:after="80" w:line="240" w:lineRule="auto"/>
        <w:ind w:left="90" w:right="36"/>
        <w:rPr>
          <w:rFonts w:asciiTheme="majorHAnsi" w:eastAsia="Alegreya" w:hAnsiTheme="majorHAnsi" w:cstheme="majorHAnsi"/>
          <w:sz w:val="18"/>
          <w:szCs w:val="18"/>
          <w:lang w:val="en"/>
        </w:rPr>
      </w:pPr>
      <w:r w:rsidRPr="005B7582">
        <w:rPr>
          <w:rFonts w:asciiTheme="majorHAnsi" w:eastAsia="Alegreya" w:hAnsiTheme="majorHAnsi" w:cstheme="majorHAnsi"/>
          <w:lang w:val="en"/>
        </w:rPr>
        <w:t xml:space="preserve"> </w:t>
      </w:r>
    </w:p>
    <w:p w:rsidR="003C6C9A" w:rsidRDefault="0031691E" w:rsidP="000E52EF">
      <w:pPr>
        <w:tabs>
          <w:tab w:val="left" w:pos="10620"/>
        </w:tabs>
        <w:spacing w:before="80" w:after="80" w:line="240" w:lineRule="auto"/>
        <w:ind w:left="90" w:right="36"/>
        <w:rPr>
          <w:rFonts w:asciiTheme="majorHAnsi" w:eastAsia="Alegreya" w:hAnsiTheme="majorHAnsi" w:cstheme="majorHAnsi"/>
          <w:lang w:val="en"/>
        </w:rPr>
      </w:pPr>
      <w:r w:rsidRPr="0031691E">
        <w:rPr>
          <w:rFonts w:asciiTheme="majorHAnsi" w:eastAsia="Alegreya" w:hAnsiTheme="majorHAnsi" w:cstheme="majorHAnsi"/>
          <w:lang w:val="en"/>
        </w:rPr>
        <w:t>With the passage of the Workforce Innova</w:t>
      </w:r>
      <w:r w:rsidR="00D64086">
        <w:rPr>
          <w:rFonts w:asciiTheme="majorHAnsi" w:eastAsia="Alegreya" w:hAnsiTheme="majorHAnsi" w:cstheme="majorHAnsi"/>
          <w:lang w:val="en"/>
        </w:rPr>
        <w:t>tion and Opportunity Act (WIOA)</w:t>
      </w:r>
      <w:r w:rsidR="00424E39">
        <w:rPr>
          <w:rFonts w:asciiTheme="majorHAnsi" w:eastAsia="Alegreya" w:hAnsiTheme="majorHAnsi" w:cstheme="majorHAnsi"/>
          <w:lang w:val="en"/>
        </w:rPr>
        <w:t xml:space="preserve"> there is new momentum for </w:t>
      </w:r>
      <w:r w:rsidR="00424E39" w:rsidRPr="00424E39">
        <w:rPr>
          <w:rFonts w:asciiTheme="majorHAnsi" w:eastAsia="Alegreya" w:hAnsiTheme="majorHAnsi" w:cstheme="majorHAnsi"/>
        </w:rPr>
        <w:t>increased support for transition services through the inclusion of Pre-Employment Transition Services (Pre-ETS), with a focus on serving students earlier in their high school years.</w:t>
      </w:r>
      <w:r w:rsidR="00424E39">
        <w:rPr>
          <w:rFonts w:asciiTheme="majorHAnsi" w:eastAsia="Alegreya" w:hAnsiTheme="majorHAnsi" w:cstheme="majorHAnsi"/>
        </w:rPr>
        <w:t xml:space="preserve">  WIOA provides the perfect impetus to open doors</w:t>
      </w:r>
      <w:r w:rsidR="000E52EF">
        <w:rPr>
          <w:rFonts w:asciiTheme="majorHAnsi" w:eastAsia="Alegreya" w:hAnsiTheme="majorHAnsi" w:cstheme="majorHAnsi"/>
        </w:rPr>
        <w:t xml:space="preserve"> for CRPs to partner in supporting students with disabilities.   This </w:t>
      </w:r>
      <w:r w:rsidR="003E1073">
        <w:rPr>
          <w:rFonts w:asciiTheme="majorHAnsi" w:eastAsia="Alegreya" w:hAnsiTheme="majorHAnsi" w:cstheme="majorHAnsi"/>
        </w:rPr>
        <w:t>toolkit</w:t>
      </w:r>
      <w:r w:rsidR="000E52EF">
        <w:rPr>
          <w:rFonts w:asciiTheme="majorHAnsi" w:eastAsia="Alegreya" w:hAnsiTheme="majorHAnsi" w:cstheme="majorHAnsi"/>
        </w:rPr>
        <w:t xml:space="preserve"> pulls together information and resources for CRPs related to serving transition aged youth and implementation of WIOA and Pre-ETS.  </w:t>
      </w:r>
    </w:p>
    <w:p w:rsidR="00D64086" w:rsidRPr="005B7582" w:rsidRDefault="00D64086" w:rsidP="006B11B9">
      <w:pPr>
        <w:tabs>
          <w:tab w:val="left" w:pos="10620"/>
        </w:tabs>
        <w:spacing w:before="80" w:after="80" w:line="240" w:lineRule="auto"/>
        <w:ind w:left="90" w:right="36"/>
        <w:rPr>
          <w:rFonts w:asciiTheme="majorHAnsi" w:eastAsia="Alegreya" w:hAnsiTheme="majorHAnsi" w:cstheme="majorHAnsi"/>
          <w:sz w:val="18"/>
          <w:szCs w:val="18"/>
          <w:lang w:val="en"/>
        </w:rPr>
      </w:pPr>
    </w:p>
    <w:p w:rsidR="0031691E" w:rsidRDefault="0031691E" w:rsidP="00CD3BB1">
      <w:pPr>
        <w:tabs>
          <w:tab w:val="left" w:pos="10620"/>
        </w:tabs>
        <w:spacing w:before="80" w:after="80" w:line="240" w:lineRule="auto"/>
        <w:ind w:left="90" w:right="36"/>
        <w:rPr>
          <w:rFonts w:asciiTheme="majorHAnsi" w:eastAsia="Alegreya" w:hAnsiTheme="majorHAnsi" w:cstheme="majorHAnsi"/>
          <w:lang w:val="en"/>
        </w:rPr>
      </w:pPr>
      <w:r w:rsidRPr="0031691E">
        <w:rPr>
          <w:rFonts w:asciiTheme="majorHAnsi" w:eastAsia="Alegreya" w:hAnsiTheme="majorHAnsi" w:cstheme="majorHAnsi"/>
          <w:lang w:val="en"/>
        </w:rPr>
        <w:t>Effective WIOA implementation requires collaboration between vocational rehabilitati</w:t>
      </w:r>
      <w:r w:rsidR="000E52EF" w:rsidRPr="000E52EF">
        <w:rPr>
          <w:rFonts w:asciiTheme="majorHAnsi" w:eastAsia="Alegreya" w:hAnsiTheme="majorHAnsi" w:cstheme="majorHAnsi"/>
          <w:lang w:val="en"/>
        </w:rPr>
        <w:t>on agencies (VR), schools,</w:t>
      </w:r>
      <w:r w:rsidRPr="0031691E">
        <w:rPr>
          <w:rFonts w:asciiTheme="majorHAnsi" w:eastAsia="Alegreya" w:hAnsiTheme="majorHAnsi" w:cstheme="majorHAnsi"/>
          <w:lang w:val="en"/>
        </w:rPr>
        <w:t xml:space="preserve"> families, and all other community partners. </w:t>
      </w:r>
      <w:r w:rsidR="00475EA6">
        <w:rPr>
          <w:rFonts w:asciiTheme="majorHAnsi" w:eastAsia="Alegreya" w:hAnsiTheme="majorHAnsi" w:cstheme="majorHAnsi"/>
          <w:lang w:val="en"/>
        </w:rPr>
        <w:t xml:space="preserve"> For CRPs to be viewed as a critical partner, they will want to ensure that they are well versed and skilled in providing Pre-ETS services and have developed effective processes for connecting and collaborating with schools and VR agencies.   In addition, it is important to remember that each community is </w:t>
      </w:r>
      <w:r w:rsidR="00CD3BB1">
        <w:rPr>
          <w:rFonts w:asciiTheme="majorHAnsi" w:eastAsia="Alegreya" w:hAnsiTheme="majorHAnsi" w:cstheme="majorHAnsi"/>
          <w:lang w:val="en"/>
        </w:rPr>
        <w:t>distinctive</w:t>
      </w:r>
      <w:r w:rsidR="00475EA6">
        <w:rPr>
          <w:rFonts w:asciiTheme="majorHAnsi" w:eastAsia="Alegreya" w:hAnsiTheme="majorHAnsi" w:cstheme="majorHAnsi"/>
          <w:lang w:val="en"/>
        </w:rPr>
        <w:t xml:space="preserve"> in their</w:t>
      </w:r>
      <w:r w:rsidR="00CD3BB1">
        <w:rPr>
          <w:rFonts w:asciiTheme="majorHAnsi" w:eastAsia="Alegreya" w:hAnsiTheme="majorHAnsi" w:cstheme="majorHAnsi"/>
          <w:lang w:val="en"/>
        </w:rPr>
        <w:t xml:space="preserve"> culture,</w:t>
      </w:r>
      <w:r w:rsidR="00475EA6">
        <w:rPr>
          <w:rFonts w:asciiTheme="majorHAnsi" w:eastAsia="Alegreya" w:hAnsiTheme="majorHAnsi" w:cstheme="majorHAnsi"/>
          <w:lang w:val="en"/>
        </w:rPr>
        <w:t xml:space="preserve"> approach, level of resources, engaged partners, etc.  </w:t>
      </w:r>
      <w:r w:rsidRPr="0031691E">
        <w:rPr>
          <w:rFonts w:asciiTheme="majorHAnsi" w:eastAsia="Alegreya" w:hAnsiTheme="majorHAnsi" w:cstheme="majorHAnsi"/>
          <w:lang w:val="en"/>
        </w:rPr>
        <w:t>Schools, VR agencies, CRPs, and other local services will want to work together to determine how best to meet local needs</w:t>
      </w:r>
      <w:r w:rsidR="00CD3BB1">
        <w:rPr>
          <w:rFonts w:asciiTheme="majorHAnsi" w:eastAsia="Alegreya" w:hAnsiTheme="majorHAnsi" w:cstheme="majorHAnsi"/>
          <w:lang w:val="en"/>
        </w:rPr>
        <w:t xml:space="preserve">.  </w:t>
      </w:r>
      <w:r w:rsidRPr="0031691E">
        <w:rPr>
          <w:rFonts w:asciiTheme="majorHAnsi" w:eastAsia="Alegreya" w:hAnsiTheme="majorHAnsi" w:cstheme="majorHAnsi"/>
          <w:lang w:val="en"/>
        </w:rPr>
        <w:t>This tool</w:t>
      </w:r>
      <w:r w:rsidR="003E1073">
        <w:rPr>
          <w:rFonts w:asciiTheme="majorHAnsi" w:eastAsia="Alegreya" w:hAnsiTheme="majorHAnsi" w:cstheme="majorHAnsi"/>
          <w:lang w:val="en"/>
        </w:rPr>
        <w:t>kit</w:t>
      </w:r>
      <w:r w:rsidRPr="0031691E">
        <w:rPr>
          <w:rFonts w:asciiTheme="majorHAnsi" w:eastAsia="Alegreya" w:hAnsiTheme="majorHAnsi" w:cstheme="majorHAnsi"/>
          <w:lang w:val="en"/>
        </w:rPr>
        <w:t xml:space="preserve"> will provide CRPs with considerations and suggestions for developing effective processes for connecting with and collaborating with multiple partners around Pre-ETS. </w:t>
      </w:r>
    </w:p>
    <w:p w:rsidR="00CD3BB1" w:rsidRPr="005B7582" w:rsidRDefault="00CD3BB1" w:rsidP="00CD3BB1">
      <w:pPr>
        <w:tabs>
          <w:tab w:val="left" w:pos="10620"/>
        </w:tabs>
        <w:spacing w:before="80" w:after="80" w:line="240" w:lineRule="auto"/>
        <w:ind w:left="90" w:right="36"/>
        <w:rPr>
          <w:rFonts w:asciiTheme="majorHAnsi" w:eastAsia="Alegreya" w:hAnsiTheme="majorHAnsi" w:cstheme="majorHAnsi"/>
          <w:sz w:val="12"/>
          <w:szCs w:val="12"/>
          <w:lang w:val="en"/>
        </w:rPr>
      </w:pPr>
    </w:p>
    <w:p w:rsidR="0031691E" w:rsidRPr="0031691E" w:rsidRDefault="0031691E" w:rsidP="006B11B9">
      <w:pPr>
        <w:tabs>
          <w:tab w:val="left" w:pos="10620"/>
        </w:tabs>
        <w:spacing w:before="80" w:after="80" w:line="240" w:lineRule="auto"/>
        <w:ind w:right="36"/>
        <w:rPr>
          <w:rFonts w:ascii="Corbel" w:eastAsia="Alegreya" w:hAnsi="Corbel" w:cstheme="majorHAnsi"/>
          <w:sz w:val="28"/>
          <w:szCs w:val="28"/>
          <w:lang w:val="en"/>
        </w:rPr>
      </w:pPr>
      <w:r w:rsidRPr="005B7582">
        <w:rPr>
          <w:rFonts w:ascii="Corbel" w:eastAsia="Alegreya" w:hAnsi="Corbel" w:cstheme="majorHAnsi"/>
          <w:b/>
          <w:sz w:val="40"/>
          <w:szCs w:val="40"/>
          <w:lang w:val="en"/>
        </w:rPr>
        <w:t>S</w:t>
      </w:r>
      <w:r w:rsidRPr="005B7582">
        <w:rPr>
          <w:rFonts w:ascii="Corbel" w:eastAsia="Alegreya" w:hAnsi="Corbel" w:cstheme="majorHAnsi"/>
          <w:b/>
          <w:sz w:val="28"/>
          <w:szCs w:val="28"/>
          <w:lang w:val="en"/>
        </w:rPr>
        <w:t>ome Considerations &amp; Things to R</w:t>
      </w:r>
      <w:r w:rsidRPr="0031691E">
        <w:rPr>
          <w:rFonts w:ascii="Corbel" w:eastAsia="Alegreya" w:hAnsi="Corbel" w:cstheme="majorHAnsi"/>
          <w:b/>
          <w:sz w:val="28"/>
          <w:szCs w:val="28"/>
          <w:lang w:val="en"/>
        </w:rPr>
        <w:t xml:space="preserve">emember: </w:t>
      </w:r>
      <w:r w:rsidRPr="0031691E">
        <w:rPr>
          <w:rFonts w:ascii="Corbel" w:eastAsia="Alegreya" w:hAnsi="Corbel" w:cstheme="majorHAnsi"/>
          <w:sz w:val="28"/>
          <w:szCs w:val="28"/>
          <w:lang w:val="en"/>
        </w:rPr>
        <w:t xml:space="preserve"> </w:t>
      </w:r>
    </w:p>
    <w:p w:rsidR="0031691E" w:rsidRPr="0031691E" w:rsidRDefault="005B7582" w:rsidP="00EF33A1">
      <w:pPr>
        <w:numPr>
          <w:ilvl w:val="0"/>
          <w:numId w:val="1"/>
        </w:numPr>
        <w:tabs>
          <w:tab w:val="left" w:pos="10620"/>
        </w:tabs>
        <w:spacing w:before="240" w:after="240" w:line="240" w:lineRule="auto"/>
        <w:ind w:right="43"/>
        <w:rPr>
          <w:rFonts w:asciiTheme="majorHAnsi" w:eastAsia="Alegreya" w:hAnsiTheme="majorHAnsi" w:cstheme="majorHAnsi"/>
          <w:lang w:val="en"/>
        </w:rPr>
      </w:pPr>
      <w:r w:rsidRPr="005B7582">
        <w:rPr>
          <w:rFonts w:asciiTheme="majorHAnsi" w:eastAsia="Alegreya" w:hAnsiTheme="majorHAnsi" w:cstheme="majorHAnsi"/>
          <w:noProof/>
          <w:sz w:val="40"/>
          <w:szCs w:val="40"/>
          <w:lang w:val="en"/>
        </w:rPr>
        <mc:AlternateContent>
          <mc:Choice Requires="wps">
            <w:drawing>
              <wp:anchor distT="0" distB="0" distL="114300" distR="114300" simplePos="0" relativeHeight="251673600" behindDoc="0" locked="0" layoutInCell="1" allowOverlap="1" wp14:anchorId="01C37900" wp14:editId="4305A3E8">
                <wp:simplePos x="0" y="0"/>
                <wp:positionH relativeFrom="column">
                  <wp:posOffset>5097780</wp:posOffset>
                </wp:positionH>
                <wp:positionV relativeFrom="paragraph">
                  <wp:posOffset>588010</wp:posOffset>
                </wp:positionV>
                <wp:extent cx="1543050" cy="15240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524000"/>
                        </a:xfrm>
                        <a:prstGeom prst="rect">
                          <a:avLst/>
                        </a:prstGeom>
                        <a:solidFill>
                          <a:srgbClr val="FFFFFF"/>
                        </a:solidFill>
                        <a:ln w="9525">
                          <a:solidFill>
                            <a:srgbClr val="000000"/>
                          </a:solidFill>
                          <a:miter lim="800000"/>
                          <a:headEnd/>
                          <a:tailEnd/>
                        </a:ln>
                      </wps:spPr>
                      <wps:txbx>
                        <w:txbxContent>
                          <w:p w:rsidR="00CD3BB1" w:rsidRPr="005B7582" w:rsidRDefault="005B7582" w:rsidP="005B7582">
                            <w:pPr>
                              <w:tabs>
                                <w:tab w:val="left" w:pos="10620"/>
                              </w:tabs>
                              <w:spacing w:before="120" w:after="120" w:line="240" w:lineRule="auto"/>
                              <w:ind w:right="43"/>
                              <w:jc w:val="center"/>
                              <w:rPr>
                                <w:rFonts w:ascii="Corbel" w:eastAsia="Alegreya" w:hAnsi="Corbel" w:cstheme="majorHAnsi"/>
                                <w:sz w:val="24"/>
                                <w:szCs w:val="24"/>
                                <w:lang w:val="en"/>
                              </w:rPr>
                            </w:pPr>
                            <w:r w:rsidRPr="005B7582">
                              <w:rPr>
                                <w:rFonts w:ascii="Corbel" w:eastAsia="Alegreya" w:hAnsi="Corbel" w:cstheme="majorHAnsi"/>
                                <w:sz w:val="24"/>
                                <w:szCs w:val="24"/>
                                <w:lang w:val="en"/>
                              </w:rPr>
                              <w:t>“</w:t>
                            </w:r>
                            <w:r w:rsidR="00341353" w:rsidRPr="005B7582">
                              <w:rPr>
                                <w:rFonts w:ascii="Corbel" w:eastAsia="Alegreya" w:hAnsi="Corbel" w:cstheme="majorHAnsi"/>
                                <w:sz w:val="24"/>
                                <w:szCs w:val="24"/>
                                <w:lang w:val="en"/>
                              </w:rPr>
                              <w:t>I</w:t>
                            </w:r>
                            <w:r w:rsidR="00CD3BB1" w:rsidRPr="0031691E">
                              <w:rPr>
                                <w:rFonts w:ascii="Corbel" w:eastAsia="Alegreya" w:hAnsi="Corbel" w:cstheme="majorHAnsi"/>
                                <w:sz w:val="24"/>
                                <w:szCs w:val="24"/>
                                <w:lang w:val="en"/>
                              </w:rPr>
                              <w:t>t’s all about relationships! They are so important, so utilize your social capital and reach out to your social networks.</w:t>
                            </w:r>
                            <w:r w:rsidRPr="005B7582">
                              <w:rPr>
                                <w:rFonts w:ascii="Corbel" w:eastAsia="Alegreya" w:hAnsi="Corbel" w:cstheme="majorHAnsi"/>
                                <w:sz w:val="24"/>
                                <w:szCs w:val="24"/>
                                <w:lang w:val="e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37900" id="_x0000_s1027" type="#_x0000_t202" style="position:absolute;left:0;text-align:left;margin-left:401.4pt;margin-top:46.3pt;width:121.5pt;height:12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">
                <v:textbox>
                  <w:txbxContent>
                    <w:p w:rsidR="00CD3BB1" w:rsidRPr="005B7582" w:rsidRDefault="005B7582" w:rsidP="005B7582">
                      <w:pPr>
                        <w:tabs>
                          <w:tab w:val="left" w:pos="10620"/>
                        </w:tabs>
                        <w:spacing w:before="120" w:after="120" w:line="240" w:lineRule="auto"/>
                        <w:ind w:right="43"/>
                        <w:jc w:val="center"/>
                        <w:rPr>
                          <w:rFonts w:ascii="Corbel" w:eastAsia="Alegreya" w:hAnsi="Corbel" w:cstheme="majorHAnsi"/>
                          <w:sz w:val="24"/>
                          <w:szCs w:val="24"/>
                          <w:lang w:val="en"/>
                        </w:rPr>
                      </w:pPr>
                      <w:r w:rsidRPr="005B7582">
                        <w:rPr>
                          <w:rFonts w:ascii="Corbel" w:eastAsia="Alegreya" w:hAnsi="Corbel" w:cstheme="majorHAnsi"/>
                          <w:sz w:val="24"/>
                          <w:szCs w:val="24"/>
                          <w:lang w:val="en"/>
                        </w:rPr>
                        <w:t>“</w:t>
                      </w:r>
                      <w:r w:rsidR="00341353" w:rsidRPr="005B7582">
                        <w:rPr>
                          <w:rFonts w:ascii="Corbel" w:eastAsia="Alegreya" w:hAnsi="Corbel" w:cstheme="majorHAnsi"/>
                          <w:sz w:val="24"/>
                          <w:szCs w:val="24"/>
                          <w:lang w:val="en"/>
                        </w:rPr>
                        <w:t>I</w:t>
                      </w:r>
                      <w:r w:rsidR="00CD3BB1" w:rsidRPr="0031691E">
                        <w:rPr>
                          <w:rFonts w:ascii="Corbel" w:eastAsia="Alegreya" w:hAnsi="Corbel" w:cstheme="majorHAnsi"/>
                          <w:sz w:val="24"/>
                          <w:szCs w:val="24"/>
                          <w:lang w:val="en"/>
                        </w:rPr>
                        <w:t>t’s all about relationships! They are so important, so utilize your social capital and reach out to your social networks.</w:t>
                      </w:r>
                      <w:r w:rsidRPr="005B7582">
                        <w:rPr>
                          <w:rFonts w:ascii="Corbel" w:eastAsia="Alegreya" w:hAnsi="Corbel" w:cstheme="majorHAnsi"/>
                          <w:sz w:val="24"/>
                          <w:szCs w:val="24"/>
                          <w:lang w:val="en"/>
                        </w:rPr>
                        <w:t>”</w:t>
                      </w:r>
                    </w:p>
                  </w:txbxContent>
                </v:textbox>
                <w10:wrap type="square"/>
              </v:shape>
            </w:pict>
          </mc:Fallback>
        </mc:AlternateContent>
      </w:r>
      <w:r w:rsidR="0031691E" w:rsidRPr="0031691E">
        <w:rPr>
          <w:rFonts w:asciiTheme="majorHAnsi" w:eastAsia="Alegreya" w:hAnsiTheme="majorHAnsi" w:cstheme="majorHAnsi"/>
          <w:lang w:val="en"/>
        </w:rPr>
        <w:t>There is not one approach, and there are multiple connection points to getting connected to schools and serving students.</w:t>
      </w:r>
    </w:p>
    <w:p w:rsidR="0031691E" w:rsidRPr="0031691E" w:rsidRDefault="0031691E" w:rsidP="00EF33A1">
      <w:pPr>
        <w:numPr>
          <w:ilvl w:val="0"/>
          <w:numId w:val="1"/>
        </w:numPr>
        <w:tabs>
          <w:tab w:val="left" w:pos="10620"/>
        </w:tabs>
        <w:spacing w:before="240" w:after="240" w:line="240" w:lineRule="auto"/>
        <w:ind w:right="43"/>
        <w:rPr>
          <w:rFonts w:asciiTheme="majorHAnsi" w:eastAsia="Alegreya" w:hAnsiTheme="majorHAnsi" w:cstheme="majorHAnsi"/>
          <w:lang w:val="en"/>
        </w:rPr>
      </w:pPr>
      <w:r w:rsidRPr="0031691E">
        <w:rPr>
          <w:rFonts w:asciiTheme="majorHAnsi" w:eastAsia="Alegreya" w:hAnsiTheme="majorHAnsi" w:cstheme="majorHAnsi"/>
          <w:lang w:val="en"/>
        </w:rPr>
        <w:t>Who you connect with and how you connect with them will all depend on your community and/or your local school district(s).</w:t>
      </w:r>
      <w:r w:rsidR="004E13A6">
        <w:rPr>
          <w:rFonts w:asciiTheme="majorHAnsi" w:eastAsia="Alegreya" w:hAnsiTheme="majorHAnsi" w:cstheme="majorHAnsi"/>
          <w:lang w:val="en"/>
        </w:rPr>
        <w:t xml:space="preserve"> </w:t>
      </w:r>
      <w:r w:rsidRPr="0031691E">
        <w:rPr>
          <w:rFonts w:asciiTheme="majorHAnsi" w:eastAsia="Alegreya" w:hAnsiTheme="majorHAnsi" w:cstheme="majorHAnsi"/>
          <w:lang w:val="en"/>
        </w:rPr>
        <w:t xml:space="preserve"> But remember, just like in job development and business engagement, it’s all about relationships! </w:t>
      </w:r>
    </w:p>
    <w:p w:rsidR="0031691E" w:rsidRDefault="0031691E" w:rsidP="00EF33A1">
      <w:pPr>
        <w:numPr>
          <w:ilvl w:val="0"/>
          <w:numId w:val="1"/>
        </w:numPr>
        <w:tabs>
          <w:tab w:val="left" w:pos="10620"/>
        </w:tabs>
        <w:spacing w:before="240" w:after="240" w:line="240" w:lineRule="auto"/>
        <w:ind w:right="43"/>
        <w:rPr>
          <w:rFonts w:asciiTheme="majorHAnsi" w:eastAsia="Alegreya" w:hAnsiTheme="majorHAnsi" w:cstheme="majorHAnsi"/>
          <w:lang w:val="en"/>
        </w:rPr>
      </w:pPr>
      <w:r w:rsidRPr="0031691E">
        <w:rPr>
          <w:rFonts w:asciiTheme="majorHAnsi" w:eastAsia="Alegreya" w:hAnsiTheme="majorHAnsi" w:cstheme="majorHAnsi"/>
          <w:lang w:val="en"/>
        </w:rPr>
        <w:t xml:space="preserve">Remember that educators and schools are moving and working within a different system </w:t>
      </w:r>
      <w:r w:rsidR="004E13A6">
        <w:rPr>
          <w:rFonts w:asciiTheme="majorHAnsi" w:eastAsia="Alegreya" w:hAnsiTheme="majorHAnsi" w:cstheme="majorHAnsi"/>
          <w:lang w:val="en"/>
        </w:rPr>
        <w:t>from</w:t>
      </w:r>
      <w:r w:rsidRPr="0031691E">
        <w:rPr>
          <w:rFonts w:asciiTheme="majorHAnsi" w:eastAsia="Alegreya" w:hAnsiTheme="majorHAnsi" w:cstheme="majorHAnsi"/>
          <w:lang w:val="en"/>
        </w:rPr>
        <w:t xml:space="preserve"> adult service providers</w:t>
      </w:r>
      <w:r w:rsidR="004E13A6">
        <w:rPr>
          <w:rFonts w:asciiTheme="majorHAnsi" w:eastAsia="Alegreya" w:hAnsiTheme="majorHAnsi" w:cstheme="majorHAnsi"/>
          <w:lang w:val="en"/>
        </w:rPr>
        <w:t xml:space="preserve">.  They have </w:t>
      </w:r>
      <w:r w:rsidRPr="0031691E">
        <w:rPr>
          <w:rFonts w:asciiTheme="majorHAnsi" w:eastAsia="Alegreya" w:hAnsiTheme="majorHAnsi" w:cstheme="majorHAnsi"/>
          <w:lang w:val="en"/>
        </w:rPr>
        <w:t>di</w:t>
      </w:r>
      <w:r w:rsidR="004E13A6">
        <w:rPr>
          <w:rFonts w:asciiTheme="majorHAnsi" w:eastAsia="Alegreya" w:hAnsiTheme="majorHAnsi" w:cstheme="majorHAnsi"/>
          <w:lang w:val="en"/>
        </w:rPr>
        <w:t>fferent measures of success</w:t>
      </w:r>
      <w:r w:rsidRPr="0031691E">
        <w:rPr>
          <w:rFonts w:asciiTheme="majorHAnsi" w:eastAsia="Alegreya" w:hAnsiTheme="majorHAnsi" w:cstheme="majorHAnsi"/>
          <w:lang w:val="en"/>
        </w:rPr>
        <w:t xml:space="preserve"> and are dea</w:t>
      </w:r>
      <w:r w:rsidR="004E13A6">
        <w:rPr>
          <w:rFonts w:asciiTheme="majorHAnsi" w:eastAsia="Alegreya" w:hAnsiTheme="majorHAnsi" w:cstheme="majorHAnsi"/>
          <w:lang w:val="en"/>
        </w:rPr>
        <w:t xml:space="preserve">ling with competing priorities.  </w:t>
      </w:r>
      <w:r w:rsidRPr="0031691E">
        <w:rPr>
          <w:rFonts w:asciiTheme="majorHAnsi" w:eastAsia="Alegreya" w:hAnsiTheme="majorHAnsi" w:cstheme="majorHAnsi"/>
          <w:lang w:val="en"/>
        </w:rPr>
        <w:t xml:space="preserve">It will be important to learn and understand the school culture of your local school(s). </w:t>
      </w:r>
      <w:r w:rsidR="004E13A6">
        <w:rPr>
          <w:rFonts w:asciiTheme="majorHAnsi" w:eastAsia="Alegreya" w:hAnsiTheme="majorHAnsi" w:cstheme="majorHAnsi"/>
          <w:lang w:val="en"/>
        </w:rPr>
        <w:t xml:space="preserve"> </w:t>
      </w:r>
      <w:r w:rsidRPr="0031691E">
        <w:rPr>
          <w:rFonts w:asciiTheme="majorHAnsi" w:eastAsia="Alegreya" w:hAnsiTheme="majorHAnsi" w:cstheme="majorHAnsi"/>
          <w:lang w:val="en"/>
        </w:rPr>
        <w:t xml:space="preserve">Be prepared to share how you can collaborate and what you can bring to the partnership to help the school meet their goals. </w:t>
      </w:r>
    </w:p>
    <w:p w:rsidR="0031691E" w:rsidRPr="0031691E" w:rsidRDefault="0031691E" w:rsidP="005B7582">
      <w:pPr>
        <w:tabs>
          <w:tab w:val="left" w:pos="4080"/>
          <w:tab w:val="left" w:pos="10620"/>
        </w:tabs>
        <w:spacing w:before="80" w:after="80" w:line="240" w:lineRule="auto"/>
        <w:ind w:right="36"/>
        <w:jc w:val="right"/>
        <w:rPr>
          <w:rFonts w:ascii="Corbel" w:eastAsia="Alegreya" w:hAnsi="Corbel" w:cstheme="majorHAnsi"/>
          <w:b/>
          <w:sz w:val="28"/>
          <w:szCs w:val="28"/>
          <w:lang w:val="en"/>
        </w:rPr>
      </w:pPr>
      <w:r w:rsidRPr="0031691E">
        <w:rPr>
          <w:rFonts w:ascii="Corbel" w:eastAsia="Alegreya" w:hAnsi="Corbel" w:cstheme="majorHAnsi"/>
          <w:b/>
          <w:sz w:val="40"/>
          <w:szCs w:val="40"/>
          <w:lang w:val="en"/>
        </w:rPr>
        <w:t>S</w:t>
      </w:r>
      <w:r w:rsidR="00C40736" w:rsidRPr="005B7582">
        <w:rPr>
          <w:rFonts w:ascii="Corbel" w:eastAsia="Alegreya" w:hAnsi="Corbel" w:cstheme="majorHAnsi"/>
          <w:b/>
          <w:sz w:val="28"/>
          <w:szCs w:val="28"/>
          <w:lang w:val="en"/>
        </w:rPr>
        <w:t xml:space="preserve">ome Suggestions </w:t>
      </w:r>
      <w:r w:rsidRPr="0031691E">
        <w:rPr>
          <w:rFonts w:ascii="Corbel" w:eastAsia="Alegreya" w:hAnsi="Corbel" w:cstheme="majorHAnsi"/>
          <w:b/>
          <w:sz w:val="28"/>
          <w:szCs w:val="28"/>
          <w:lang w:val="en"/>
        </w:rPr>
        <w:t xml:space="preserve">for Connecting: </w:t>
      </w:r>
      <w:r w:rsidRPr="005B7582">
        <w:rPr>
          <w:rFonts w:ascii="Corbel" w:eastAsia="Alegreya" w:hAnsi="Corbel" w:cstheme="majorHAnsi"/>
          <w:b/>
          <w:sz w:val="28"/>
          <w:szCs w:val="28"/>
          <w:lang w:val="en"/>
        </w:rPr>
        <w:tab/>
      </w:r>
    </w:p>
    <w:p w:rsidR="0031691E" w:rsidRDefault="0031691E" w:rsidP="00EF33A1">
      <w:pPr>
        <w:numPr>
          <w:ilvl w:val="0"/>
          <w:numId w:val="2"/>
        </w:numPr>
        <w:tabs>
          <w:tab w:val="left" w:pos="10620"/>
        </w:tabs>
        <w:spacing w:before="240" w:after="240" w:line="240" w:lineRule="auto"/>
        <w:ind w:right="43"/>
        <w:rPr>
          <w:rFonts w:asciiTheme="majorHAnsi" w:eastAsia="Alegreya" w:hAnsiTheme="majorHAnsi" w:cstheme="majorHAnsi"/>
          <w:lang w:val="en"/>
        </w:rPr>
      </w:pPr>
      <w:r w:rsidRPr="0031691E">
        <w:rPr>
          <w:rFonts w:asciiTheme="majorHAnsi" w:eastAsia="Alegreya" w:hAnsiTheme="majorHAnsi" w:cstheme="majorHAnsi"/>
          <w:lang w:val="en"/>
        </w:rPr>
        <w:t>Contact and connect with your local</w:t>
      </w:r>
      <w:r w:rsidR="007B783A">
        <w:rPr>
          <w:rFonts w:asciiTheme="majorHAnsi" w:eastAsia="Alegreya" w:hAnsiTheme="majorHAnsi" w:cstheme="majorHAnsi"/>
          <w:lang w:val="en"/>
        </w:rPr>
        <w:t xml:space="preserve"> VR counselor and/or supervisor. </w:t>
      </w:r>
      <w:r w:rsidRPr="0031691E">
        <w:rPr>
          <w:rFonts w:asciiTheme="majorHAnsi" w:eastAsia="Alegreya" w:hAnsiTheme="majorHAnsi" w:cstheme="majorHAnsi"/>
          <w:lang w:val="en"/>
        </w:rPr>
        <w:t xml:space="preserve">  With greater focus on engaging students earlier in their high school experience, and demand for Pre-ETS, a VR counselor was assigned to every school in Iowa. </w:t>
      </w:r>
      <w:r w:rsidR="007B783A">
        <w:rPr>
          <w:rFonts w:asciiTheme="majorHAnsi" w:eastAsia="Alegreya" w:hAnsiTheme="majorHAnsi" w:cstheme="majorHAnsi"/>
          <w:lang w:val="en"/>
        </w:rPr>
        <w:t xml:space="preserve"> </w:t>
      </w:r>
      <w:r w:rsidRPr="0031691E">
        <w:rPr>
          <w:rFonts w:asciiTheme="majorHAnsi" w:eastAsia="Alegreya" w:hAnsiTheme="majorHAnsi" w:cstheme="majorHAnsi"/>
          <w:lang w:val="en"/>
        </w:rPr>
        <w:t xml:space="preserve">VR </w:t>
      </w:r>
      <w:r w:rsidR="007B783A">
        <w:rPr>
          <w:rFonts w:asciiTheme="majorHAnsi" w:eastAsia="Alegreya" w:hAnsiTheme="majorHAnsi" w:cstheme="majorHAnsi"/>
          <w:lang w:val="en"/>
        </w:rPr>
        <w:t xml:space="preserve">is partnering closely with each school </w:t>
      </w:r>
      <w:r w:rsidRPr="0031691E">
        <w:rPr>
          <w:rFonts w:asciiTheme="majorHAnsi" w:eastAsia="Alegreya" w:hAnsiTheme="majorHAnsi" w:cstheme="majorHAnsi"/>
          <w:lang w:val="en"/>
        </w:rPr>
        <w:t xml:space="preserve">district to develop a </w:t>
      </w:r>
      <w:r w:rsidRPr="0031691E">
        <w:rPr>
          <w:rFonts w:asciiTheme="majorHAnsi" w:eastAsia="Alegreya" w:hAnsiTheme="majorHAnsi" w:cstheme="majorHAnsi"/>
          <w:b/>
          <w:lang w:val="en"/>
        </w:rPr>
        <w:t>Local School Plan</w:t>
      </w:r>
      <w:r w:rsidRPr="0031691E">
        <w:rPr>
          <w:rFonts w:asciiTheme="majorHAnsi" w:eastAsia="Alegreya" w:hAnsiTheme="majorHAnsi" w:cstheme="majorHAnsi"/>
          <w:lang w:val="en"/>
        </w:rPr>
        <w:t xml:space="preserve">. </w:t>
      </w:r>
      <w:r w:rsidR="003E1073">
        <w:rPr>
          <w:rFonts w:asciiTheme="majorHAnsi" w:eastAsia="Alegreya" w:hAnsiTheme="majorHAnsi" w:cstheme="majorHAnsi"/>
          <w:lang w:val="en"/>
        </w:rPr>
        <w:t xml:space="preserve"> </w:t>
      </w:r>
      <w:r w:rsidRPr="0031691E">
        <w:rPr>
          <w:rFonts w:asciiTheme="majorHAnsi" w:eastAsia="Alegreya" w:hAnsiTheme="majorHAnsi" w:cstheme="majorHAnsi"/>
          <w:lang w:val="en"/>
        </w:rPr>
        <w:t>This plan describes how the school, VR, and other partners listed in the plan will collaborate to implement Pre-ET</w:t>
      </w:r>
      <w:r w:rsidR="003E1073">
        <w:rPr>
          <w:rFonts w:asciiTheme="majorHAnsi" w:eastAsia="Alegreya" w:hAnsiTheme="majorHAnsi" w:cstheme="majorHAnsi"/>
          <w:lang w:val="en"/>
        </w:rPr>
        <w:t>S and transition services</w:t>
      </w:r>
      <w:r w:rsidRPr="0031691E">
        <w:rPr>
          <w:rFonts w:asciiTheme="majorHAnsi" w:eastAsia="Alegreya" w:hAnsiTheme="majorHAnsi" w:cstheme="majorHAnsi"/>
          <w:lang w:val="en"/>
        </w:rPr>
        <w:t>.</w:t>
      </w:r>
      <w:r w:rsidR="003E1073">
        <w:rPr>
          <w:rFonts w:asciiTheme="majorHAnsi" w:eastAsia="Alegreya" w:hAnsiTheme="majorHAnsi" w:cstheme="majorHAnsi"/>
          <w:lang w:val="en"/>
        </w:rPr>
        <w:t xml:space="preserve"> </w:t>
      </w:r>
      <w:r w:rsidRPr="0031691E">
        <w:rPr>
          <w:rFonts w:asciiTheme="majorHAnsi" w:eastAsia="Alegreya" w:hAnsiTheme="majorHAnsi" w:cstheme="majorHAnsi"/>
          <w:lang w:val="en"/>
        </w:rPr>
        <w:t xml:space="preserve"> Connect with your VR counselor or supervisor to request to see the Loc</w:t>
      </w:r>
      <w:r w:rsidR="003E1073">
        <w:rPr>
          <w:rFonts w:asciiTheme="majorHAnsi" w:eastAsia="Alegreya" w:hAnsiTheme="majorHAnsi" w:cstheme="majorHAnsi"/>
          <w:lang w:val="en"/>
        </w:rPr>
        <w:t xml:space="preserve">al School Plan. Examples of a few </w:t>
      </w:r>
      <w:r w:rsidRPr="0031691E">
        <w:rPr>
          <w:rFonts w:asciiTheme="majorHAnsi" w:eastAsia="Alegreya" w:hAnsiTheme="majorHAnsi" w:cstheme="majorHAnsi"/>
          <w:lang w:val="en"/>
        </w:rPr>
        <w:t>Local School Plan</w:t>
      </w:r>
      <w:r w:rsidR="003E1073">
        <w:rPr>
          <w:rFonts w:asciiTheme="majorHAnsi" w:eastAsia="Alegreya" w:hAnsiTheme="majorHAnsi" w:cstheme="majorHAnsi"/>
          <w:lang w:val="en"/>
        </w:rPr>
        <w:t>s</w:t>
      </w:r>
      <w:r w:rsidRPr="0031691E">
        <w:rPr>
          <w:rFonts w:asciiTheme="majorHAnsi" w:eastAsia="Alegreya" w:hAnsiTheme="majorHAnsi" w:cstheme="majorHAnsi"/>
          <w:lang w:val="en"/>
        </w:rPr>
        <w:t xml:space="preserve"> are included in the resource section of this toolkit. Offer to host and bring partners together to brainstorm and identify together where there are gaps a</w:t>
      </w:r>
      <w:r w:rsidR="003E1073">
        <w:rPr>
          <w:rFonts w:asciiTheme="majorHAnsi" w:eastAsia="Alegreya" w:hAnsiTheme="majorHAnsi" w:cstheme="majorHAnsi"/>
          <w:lang w:val="en"/>
        </w:rPr>
        <w:t xml:space="preserve">nd opportunities to collaborate </w:t>
      </w:r>
      <w:r w:rsidRPr="0031691E">
        <w:rPr>
          <w:rFonts w:asciiTheme="majorHAnsi" w:eastAsia="Alegreya" w:hAnsiTheme="majorHAnsi" w:cstheme="majorHAnsi"/>
          <w:lang w:val="en"/>
        </w:rPr>
        <w:t xml:space="preserve">to offer needed services and programs for students. </w:t>
      </w:r>
    </w:p>
    <w:p w:rsidR="003E1073" w:rsidRPr="0031691E" w:rsidRDefault="00BE7066" w:rsidP="00EF33A1">
      <w:pPr>
        <w:numPr>
          <w:ilvl w:val="0"/>
          <w:numId w:val="2"/>
        </w:numPr>
        <w:tabs>
          <w:tab w:val="left" w:pos="10620"/>
        </w:tabs>
        <w:spacing w:before="240" w:after="240" w:line="240" w:lineRule="auto"/>
        <w:ind w:right="43"/>
        <w:rPr>
          <w:rFonts w:asciiTheme="majorHAnsi" w:eastAsia="Alegreya" w:hAnsiTheme="majorHAnsi" w:cstheme="majorHAnsi"/>
          <w:lang w:val="en"/>
        </w:rPr>
      </w:pPr>
      <w:r>
        <w:rPr>
          <w:rFonts w:asciiTheme="majorHAnsi" w:eastAsia="Alegreya" w:hAnsiTheme="majorHAnsi" w:cstheme="majorHAnsi"/>
          <w:lang w:val="en"/>
        </w:rPr>
        <w:t>Be familiar with resources to support students</w:t>
      </w:r>
      <w:r w:rsidR="00DA201F">
        <w:rPr>
          <w:rFonts w:asciiTheme="majorHAnsi" w:eastAsia="Alegreya" w:hAnsiTheme="majorHAnsi" w:cstheme="majorHAnsi"/>
          <w:lang w:val="en"/>
        </w:rPr>
        <w:t xml:space="preserve"> and connect with the resources in your community</w:t>
      </w:r>
      <w:r>
        <w:rPr>
          <w:rFonts w:asciiTheme="majorHAnsi" w:eastAsia="Alegreya" w:hAnsiTheme="majorHAnsi" w:cstheme="majorHAnsi"/>
          <w:lang w:val="en"/>
        </w:rPr>
        <w:t xml:space="preserve">.  </w:t>
      </w:r>
      <w:r w:rsidR="003E1073" w:rsidRPr="0031691E">
        <w:rPr>
          <w:rFonts w:asciiTheme="majorHAnsi" w:eastAsia="Alegreya" w:hAnsiTheme="majorHAnsi" w:cstheme="majorHAnsi"/>
          <w:lang w:val="en"/>
        </w:rPr>
        <w:t>For a review of the various partners and services offered to transition aged youth around employment, refer to the ‘Partners &amp; Services in Employment for Transition Aged Youth’ in the resource section of this toolkit.</w:t>
      </w:r>
      <w:r>
        <w:rPr>
          <w:rFonts w:asciiTheme="majorHAnsi" w:eastAsia="Alegreya" w:hAnsiTheme="majorHAnsi" w:cstheme="majorHAnsi"/>
          <w:lang w:val="en"/>
        </w:rPr>
        <w:t xml:space="preserve">  </w:t>
      </w:r>
    </w:p>
    <w:p w:rsidR="002653B5" w:rsidRDefault="0031691E" w:rsidP="00EF33A1">
      <w:pPr>
        <w:numPr>
          <w:ilvl w:val="0"/>
          <w:numId w:val="2"/>
        </w:numPr>
        <w:tabs>
          <w:tab w:val="left" w:pos="10620"/>
        </w:tabs>
        <w:spacing w:before="240" w:after="240" w:line="240" w:lineRule="auto"/>
        <w:ind w:right="43"/>
        <w:rPr>
          <w:rFonts w:asciiTheme="majorHAnsi" w:eastAsia="Alegreya" w:hAnsiTheme="majorHAnsi" w:cstheme="majorHAnsi"/>
          <w:lang w:val="en"/>
        </w:rPr>
      </w:pPr>
      <w:r w:rsidRPr="0031691E">
        <w:rPr>
          <w:rFonts w:asciiTheme="majorHAnsi" w:eastAsia="Alegreya" w:hAnsiTheme="majorHAnsi" w:cstheme="majorHAnsi"/>
          <w:lang w:val="en"/>
        </w:rPr>
        <w:t xml:space="preserve">Reach out to and connect with your local </w:t>
      </w:r>
      <w:r w:rsidR="002653B5">
        <w:rPr>
          <w:rFonts w:asciiTheme="majorHAnsi" w:eastAsia="Alegreya" w:hAnsiTheme="majorHAnsi" w:cstheme="majorHAnsi"/>
          <w:lang w:val="en"/>
        </w:rPr>
        <w:t xml:space="preserve">education resources.  This could include local school(s), Area Education Agencies (AEA), </w:t>
      </w:r>
      <w:r w:rsidRPr="0031691E">
        <w:rPr>
          <w:rFonts w:asciiTheme="majorHAnsi" w:eastAsia="Alegreya" w:hAnsiTheme="majorHAnsi" w:cstheme="majorHAnsi"/>
          <w:lang w:val="en"/>
        </w:rPr>
        <w:t>F</w:t>
      </w:r>
      <w:r w:rsidR="002653B5">
        <w:rPr>
          <w:rFonts w:asciiTheme="majorHAnsi" w:eastAsia="Alegreya" w:hAnsiTheme="majorHAnsi" w:cstheme="majorHAnsi"/>
          <w:lang w:val="en"/>
        </w:rPr>
        <w:t xml:space="preserve">amily Educator Partnership </w:t>
      </w:r>
      <w:r w:rsidR="002653B5" w:rsidRPr="0031691E">
        <w:rPr>
          <w:rFonts w:asciiTheme="majorHAnsi" w:eastAsia="Alegreya" w:hAnsiTheme="majorHAnsi" w:cstheme="majorHAnsi"/>
          <w:lang w:val="en"/>
        </w:rPr>
        <w:t>coordinators</w:t>
      </w:r>
      <w:r w:rsidR="002653B5">
        <w:rPr>
          <w:rFonts w:asciiTheme="majorHAnsi" w:eastAsia="Alegreya" w:hAnsiTheme="majorHAnsi" w:cstheme="majorHAnsi"/>
          <w:lang w:val="en"/>
        </w:rPr>
        <w:t xml:space="preserve"> (FEPs found at AEAs), </w:t>
      </w:r>
      <w:r w:rsidR="002653B5" w:rsidRPr="0031691E">
        <w:rPr>
          <w:rFonts w:asciiTheme="majorHAnsi" w:eastAsia="Alegreya" w:hAnsiTheme="majorHAnsi" w:cstheme="majorHAnsi"/>
          <w:lang w:val="en"/>
        </w:rPr>
        <w:t>and</w:t>
      </w:r>
      <w:r w:rsidRPr="0031691E">
        <w:rPr>
          <w:rFonts w:asciiTheme="majorHAnsi" w:eastAsia="Alegreya" w:hAnsiTheme="majorHAnsi" w:cstheme="majorHAnsi"/>
          <w:lang w:val="en"/>
        </w:rPr>
        <w:t xml:space="preserve"> Individualized Education Program (IEP) teams. </w:t>
      </w:r>
      <w:r w:rsidR="002653B5">
        <w:rPr>
          <w:rFonts w:asciiTheme="majorHAnsi" w:eastAsia="Alegreya" w:hAnsiTheme="majorHAnsi" w:cstheme="majorHAnsi"/>
          <w:lang w:val="en"/>
        </w:rPr>
        <w:t xml:space="preserve"> </w:t>
      </w:r>
      <w:r w:rsidRPr="0031691E">
        <w:rPr>
          <w:rFonts w:asciiTheme="majorHAnsi" w:eastAsia="Alegreya" w:hAnsiTheme="majorHAnsi" w:cstheme="majorHAnsi"/>
          <w:lang w:val="en"/>
        </w:rPr>
        <w:t>Educators facilitate transition activities and services via the Individuals with Disabilities Education Act (IDEA)</w:t>
      </w:r>
      <w:r w:rsidR="002653B5" w:rsidRPr="002653B5">
        <w:rPr>
          <w:rFonts w:asciiTheme="majorHAnsi" w:eastAsia="Alegreya" w:hAnsiTheme="majorHAnsi" w:cstheme="majorHAnsi"/>
          <w:lang w:val="en"/>
        </w:rPr>
        <w:t xml:space="preserve">. </w:t>
      </w:r>
      <w:r w:rsidRPr="0031691E">
        <w:rPr>
          <w:rFonts w:asciiTheme="majorHAnsi" w:eastAsia="Alegreya" w:hAnsiTheme="majorHAnsi" w:cstheme="majorHAnsi"/>
          <w:lang w:val="en"/>
        </w:rPr>
        <w:t xml:space="preserve"> </w:t>
      </w:r>
      <w:r w:rsidR="002653B5" w:rsidRPr="002653B5">
        <w:rPr>
          <w:rFonts w:asciiTheme="majorHAnsi" w:eastAsia="Alegreya" w:hAnsiTheme="majorHAnsi" w:cstheme="majorHAnsi"/>
          <w:lang w:val="en"/>
        </w:rPr>
        <w:t>S</w:t>
      </w:r>
      <w:r w:rsidRPr="0031691E">
        <w:rPr>
          <w:rFonts w:asciiTheme="majorHAnsi" w:eastAsia="Alegreya" w:hAnsiTheme="majorHAnsi" w:cstheme="majorHAnsi"/>
          <w:lang w:val="en"/>
        </w:rPr>
        <w:t xml:space="preserve">pecial education services </w:t>
      </w:r>
      <w:r w:rsidR="002653B5" w:rsidRPr="002653B5">
        <w:rPr>
          <w:rFonts w:asciiTheme="majorHAnsi" w:eastAsia="Alegreya" w:hAnsiTheme="majorHAnsi" w:cstheme="majorHAnsi"/>
          <w:lang w:val="en"/>
        </w:rPr>
        <w:t>align</w:t>
      </w:r>
      <w:r w:rsidRPr="0031691E">
        <w:rPr>
          <w:rFonts w:asciiTheme="majorHAnsi" w:eastAsia="Alegreya" w:hAnsiTheme="majorHAnsi" w:cstheme="majorHAnsi"/>
          <w:lang w:val="en"/>
        </w:rPr>
        <w:t xml:space="preserve"> with WIOA, to prepare students for postsecondary employment and/or education. </w:t>
      </w:r>
      <w:r w:rsidR="002653B5" w:rsidRPr="002653B5">
        <w:rPr>
          <w:rFonts w:asciiTheme="majorHAnsi" w:eastAsia="Alegreya" w:hAnsiTheme="majorHAnsi" w:cstheme="majorHAnsi"/>
          <w:lang w:val="en"/>
        </w:rPr>
        <w:t xml:space="preserve"> </w:t>
      </w:r>
    </w:p>
    <w:p w:rsidR="0031691E" w:rsidRPr="0031691E" w:rsidRDefault="002653B5" w:rsidP="00EF33A1">
      <w:pPr>
        <w:numPr>
          <w:ilvl w:val="0"/>
          <w:numId w:val="2"/>
        </w:numPr>
        <w:tabs>
          <w:tab w:val="left" w:pos="10620"/>
        </w:tabs>
        <w:spacing w:before="240" w:after="240" w:line="240" w:lineRule="auto"/>
        <w:ind w:right="43"/>
        <w:rPr>
          <w:rFonts w:asciiTheme="majorHAnsi" w:eastAsia="Alegreya" w:hAnsiTheme="majorHAnsi" w:cstheme="majorHAnsi"/>
          <w:lang w:val="en"/>
        </w:rPr>
      </w:pPr>
      <w:r>
        <w:rPr>
          <w:rFonts w:asciiTheme="majorHAnsi" w:eastAsia="Alegreya" w:hAnsiTheme="majorHAnsi" w:cstheme="majorHAnsi"/>
          <w:lang w:val="en"/>
        </w:rPr>
        <w:t>When connecting with educators, remember</w:t>
      </w:r>
      <w:r w:rsidR="0031691E" w:rsidRPr="0031691E">
        <w:rPr>
          <w:rFonts w:asciiTheme="majorHAnsi" w:eastAsia="Alegreya" w:hAnsiTheme="majorHAnsi" w:cstheme="majorHAnsi"/>
          <w:lang w:val="en"/>
        </w:rPr>
        <w:t xml:space="preserve"> it will be important to learn and understand the culture of your local school(s). Be prepared to share how you can collaboratively partner to support students and their families, including, but not limited to offering Pre-ETS and understanding and navigating the adult service system.</w:t>
      </w:r>
    </w:p>
    <w:p w:rsidR="00887F4B" w:rsidRDefault="0031691E" w:rsidP="00EF33A1">
      <w:pPr>
        <w:numPr>
          <w:ilvl w:val="0"/>
          <w:numId w:val="2"/>
        </w:numPr>
        <w:tabs>
          <w:tab w:val="left" w:pos="10620"/>
        </w:tabs>
        <w:spacing w:before="240" w:after="240" w:line="240" w:lineRule="auto"/>
        <w:ind w:right="43"/>
        <w:rPr>
          <w:rFonts w:asciiTheme="majorHAnsi" w:eastAsia="Alegreya" w:hAnsiTheme="majorHAnsi" w:cstheme="majorHAnsi"/>
          <w:lang w:val="en"/>
        </w:rPr>
      </w:pPr>
      <w:r w:rsidRPr="0031691E">
        <w:rPr>
          <w:rFonts w:asciiTheme="majorHAnsi" w:eastAsia="Alegreya" w:hAnsiTheme="majorHAnsi" w:cstheme="majorHAnsi"/>
          <w:lang w:val="en"/>
        </w:rPr>
        <w:t xml:space="preserve">Create opportunities to connect with students &amp; their families. Consider fun and innovative ways to engage students and families in a variety of settings and across partners, such as student/parent nights, school-to-work events, transition to adulthood informational meetings, social events, etc. </w:t>
      </w:r>
    </w:p>
    <w:p w:rsidR="00887F4B" w:rsidRDefault="001E306A" w:rsidP="00887F4B">
      <w:pPr>
        <w:tabs>
          <w:tab w:val="left" w:pos="10620"/>
        </w:tabs>
        <w:spacing w:before="120" w:after="120" w:line="240" w:lineRule="auto"/>
        <w:ind w:right="43"/>
        <w:rPr>
          <w:rFonts w:asciiTheme="majorHAnsi" w:eastAsia="Alegreya" w:hAnsiTheme="majorHAnsi" w:cstheme="majorHAnsi"/>
          <w:lang w:val="en"/>
        </w:rPr>
      </w:pPr>
      <w:r w:rsidRPr="001E306A">
        <w:rPr>
          <w:rFonts w:asciiTheme="majorHAnsi" w:eastAsia="Alegreya" w:hAnsiTheme="majorHAnsi" w:cstheme="majorHAnsi"/>
          <w:noProof/>
          <w:lang w:val="en"/>
        </w:rPr>
        <mc:AlternateContent>
          <mc:Choice Requires="wps">
            <w:drawing>
              <wp:anchor distT="0" distB="0" distL="114300" distR="114300" simplePos="0" relativeHeight="251675648" behindDoc="0" locked="0" layoutInCell="1" allowOverlap="1" wp14:anchorId="0B9D827B" wp14:editId="34A366BA">
                <wp:simplePos x="0" y="0"/>
                <wp:positionH relativeFrom="column">
                  <wp:posOffset>1802130</wp:posOffset>
                </wp:positionH>
                <wp:positionV relativeFrom="paragraph">
                  <wp:posOffset>57150</wp:posOffset>
                </wp:positionV>
                <wp:extent cx="2724150" cy="51435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514350"/>
                        </a:xfrm>
                        <a:prstGeom prst="rect">
                          <a:avLst/>
                        </a:prstGeom>
                        <a:solidFill>
                          <a:srgbClr val="FFFFFF"/>
                        </a:solidFill>
                        <a:ln w="9525">
                          <a:solidFill>
                            <a:srgbClr val="000000"/>
                          </a:solidFill>
                          <a:miter lim="800000"/>
                          <a:headEnd/>
                          <a:tailEnd/>
                        </a:ln>
                      </wps:spPr>
                      <wps:txbx>
                        <w:txbxContent>
                          <w:p w:rsidR="001E306A" w:rsidRPr="001D1528" w:rsidRDefault="001E306A" w:rsidP="001E306A">
                            <w:pPr>
                              <w:jc w:val="center"/>
                              <w:rPr>
                                <w:rFonts w:ascii="Corbel" w:hAnsi="Corbel"/>
                                <w:sz w:val="36"/>
                                <w:szCs w:val="36"/>
                              </w:rPr>
                            </w:pPr>
                            <w:r w:rsidRPr="001D1528">
                              <w:rPr>
                                <w:rFonts w:ascii="Corbel" w:hAnsi="Corbel"/>
                                <w:sz w:val="52"/>
                                <w:szCs w:val="52"/>
                              </w:rPr>
                              <w:t>T</w:t>
                            </w:r>
                            <w:r w:rsidRPr="001D1528">
                              <w:rPr>
                                <w:rFonts w:ascii="Corbel" w:hAnsi="Corbel"/>
                                <w:sz w:val="36"/>
                                <w:szCs w:val="36"/>
                              </w:rPr>
                              <w:t>ools in this Kit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D827B" id="_x0000_s1028" type="#_x0000_t202" style="position:absolute;margin-left:141.9pt;margin-top:4.5pt;width:214.5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">
                <v:textbox>
                  <w:txbxContent>
                    <w:p w:rsidR="001E306A" w:rsidRPr="001D1528" w:rsidRDefault="001E306A" w:rsidP="001E306A">
                      <w:pPr>
                        <w:jc w:val="center"/>
                        <w:rPr>
                          <w:rFonts w:ascii="Corbel" w:hAnsi="Corbel"/>
                          <w:sz w:val="36"/>
                          <w:szCs w:val="36"/>
                        </w:rPr>
                      </w:pPr>
                      <w:r w:rsidRPr="001D1528">
                        <w:rPr>
                          <w:rFonts w:ascii="Corbel" w:hAnsi="Corbel"/>
                          <w:sz w:val="52"/>
                          <w:szCs w:val="52"/>
                        </w:rPr>
                        <w:t>T</w:t>
                      </w:r>
                      <w:r w:rsidRPr="001D1528">
                        <w:rPr>
                          <w:rFonts w:ascii="Corbel" w:hAnsi="Corbel"/>
                          <w:sz w:val="36"/>
                          <w:szCs w:val="36"/>
                        </w:rPr>
                        <w:t>ools in this Kit</w:t>
                      </w:r>
                    </w:p>
                  </w:txbxContent>
                </v:textbox>
              </v:shape>
            </w:pict>
          </mc:Fallback>
        </mc:AlternateContent>
      </w:r>
    </w:p>
    <w:p w:rsidR="005B7582" w:rsidRPr="0031691E" w:rsidRDefault="005B7582" w:rsidP="00887F4B">
      <w:pPr>
        <w:tabs>
          <w:tab w:val="left" w:pos="10620"/>
        </w:tabs>
        <w:spacing w:before="120" w:after="120" w:line="240" w:lineRule="auto"/>
        <w:ind w:right="43"/>
        <w:rPr>
          <w:rFonts w:asciiTheme="majorHAnsi" w:eastAsia="Alegreya" w:hAnsiTheme="majorHAnsi" w:cstheme="majorHAnsi"/>
          <w:lang w:val="en"/>
        </w:rPr>
      </w:pPr>
    </w:p>
    <w:p w:rsidR="0031691E" w:rsidRDefault="0031691E">
      <w:pPr>
        <w:rPr>
          <w:b/>
          <w:sz w:val="28"/>
          <w:szCs w:val="28"/>
        </w:rPr>
      </w:pPr>
    </w:p>
    <w:p w:rsidR="001E306A" w:rsidRPr="009264E8" w:rsidRDefault="001E306A" w:rsidP="00EF33A1">
      <w:pPr>
        <w:pStyle w:val="ListParagraph"/>
        <w:numPr>
          <w:ilvl w:val="0"/>
          <w:numId w:val="3"/>
        </w:numPr>
        <w:spacing w:before="360" w:after="360"/>
        <w:contextualSpacing w:val="0"/>
        <w:rPr>
          <w:sz w:val="28"/>
          <w:szCs w:val="28"/>
        </w:rPr>
      </w:pPr>
      <w:r w:rsidRPr="009264E8">
        <w:rPr>
          <w:sz w:val="28"/>
          <w:szCs w:val="28"/>
        </w:rPr>
        <w:t>Pre-Employment Transition Services (Pre-ETS):  Overview, Examples, &amp; Resources</w:t>
      </w:r>
    </w:p>
    <w:p w:rsidR="001D1528" w:rsidRPr="009264E8" w:rsidRDefault="001D1528" w:rsidP="00EF33A1">
      <w:pPr>
        <w:pStyle w:val="ListParagraph"/>
        <w:numPr>
          <w:ilvl w:val="0"/>
          <w:numId w:val="3"/>
        </w:numPr>
        <w:spacing w:before="360" w:after="360"/>
        <w:contextualSpacing w:val="0"/>
        <w:rPr>
          <w:sz w:val="28"/>
          <w:szCs w:val="28"/>
          <w:lang w:val="en"/>
        </w:rPr>
      </w:pPr>
      <w:r w:rsidRPr="009264E8">
        <w:rPr>
          <w:sz w:val="28"/>
          <w:szCs w:val="28"/>
          <w:lang w:val="en"/>
        </w:rPr>
        <w:t xml:space="preserve">Partners &amp; Services in Employment for Transition Aged Youth </w:t>
      </w:r>
    </w:p>
    <w:p w:rsidR="009F3CB5" w:rsidRPr="009264E8" w:rsidRDefault="009F3CB5" w:rsidP="00EF33A1">
      <w:pPr>
        <w:pStyle w:val="ListParagraph"/>
        <w:numPr>
          <w:ilvl w:val="0"/>
          <w:numId w:val="3"/>
        </w:numPr>
        <w:spacing w:before="360" w:after="360"/>
        <w:contextualSpacing w:val="0"/>
        <w:rPr>
          <w:sz w:val="28"/>
          <w:szCs w:val="28"/>
          <w:lang w:val="en"/>
        </w:rPr>
      </w:pPr>
      <w:r w:rsidRPr="009264E8">
        <w:rPr>
          <w:sz w:val="28"/>
          <w:szCs w:val="28"/>
          <w:lang w:val="en"/>
        </w:rPr>
        <w:t>WINTAC CRP Pre-ETS Guidebook</w:t>
      </w:r>
    </w:p>
    <w:p w:rsidR="009F3CB5" w:rsidRPr="009264E8" w:rsidRDefault="009F3CB5" w:rsidP="00EF33A1">
      <w:pPr>
        <w:pStyle w:val="ListParagraph"/>
        <w:numPr>
          <w:ilvl w:val="0"/>
          <w:numId w:val="3"/>
        </w:numPr>
        <w:spacing w:before="360" w:after="360"/>
        <w:contextualSpacing w:val="0"/>
        <w:rPr>
          <w:sz w:val="28"/>
          <w:szCs w:val="28"/>
        </w:rPr>
      </w:pPr>
      <w:r w:rsidRPr="009264E8">
        <w:rPr>
          <w:sz w:val="28"/>
          <w:szCs w:val="28"/>
        </w:rPr>
        <w:t xml:space="preserve">Examples of Two IVRS Local School Plans </w:t>
      </w:r>
    </w:p>
    <w:p w:rsidR="009F3CB5" w:rsidRPr="009264E8" w:rsidRDefault="009F3CB5" w:rsidP="00EF33A1">
      <w:pPr>
        <w:pStyle w:val="ListParagraph"/>
        <w:numPr>
          <w:ilvl w:val="0"/>
          <w:numId w:val="3"/>
        </w:numPr>
        <w:spacing w:before="360" w:after="360"/>
        <w:contextualSpacing w:val="0"/>
        <w:rPr>
          <w:sz w:val="28"/>
          <w:szCs w:val="28"/>
          <w:lang w:val="en"/>
        </w:rPr>
      </w:pPr>
      <w:r w:rsidRPr="009264E8">
        <w:rPr>
          <w:sz w:val="28"/>
          <w:szCs w:val="28"/>
          <w:lang w:val="en"/>
        </w:rPr>
        <w:t>HCBS Waiver Resource for Parents &amp; HCBS Program Comparison Chart</w:t>
      </w:r>
    </w:p>
    <w:p w:rsidR="009F3CB5" w:rsidRPr="009264E8" w:rsidRDefault="009F3CB5" w:rsidP="00EF33A1">
      <w:pPr>
        <w:pStyle w:val="ListParagraph"/>
        <w:numPr>
          <w:ilvl w:val="0"/>
          <w:numId w:val="3"/>
        </w:numPr>
        <w:spacing w:before="360" w:after="360"/>
        <w:contextualSpacing w:val="0"/>
        <w:rPr>
          <w:bCs/>
          <w:sz w:val="28"/>
          <w:szCs w:val="28"/>
        </w:rPr>
      </w:pPr>
      <w:r w:rsidRPr="009264E8">
        <w:rPr>
          <w:sz w:val="28"/>
          <w:szCs w:val="28"/>
        </w:rPr>
        <w:t xml:space="preserve">Iowa </w:t>
      </w:r>
      <w:r w:rsidRPr="009264E8">
        <w:rPr>
          <w:bCs/>
          <w:sz w:val="28"/>
          <w:szCs w:val="28"/>
        </w:rPr>
        <w:t>Graduation Information &amp; Guidance for Families:  Changes in Definition of Regular High School Diploma, Fall 2018</w:t>
      </w:r>
    </w:p>
    <w:p w:rsidR="009F3CB5" w:rsidRPr="009264E8" w:rsidRDefault="001D1528" w:rsidP="00EF33A1">
      <w:pPr>
        <w:pStyle w:val="ListParagraph"/>
        <w:numPr>
          <w:ilvl w:val="0"/>
          <w:numId w:val="3"/>
        </w:numPr>
        <w:spacing w:before="360" w:after="240"/>
        <w:contextualSpacing w:val="0"/>
        <w:rPr>
          <w:bCs/>
          <w:sz w:val="28"/>
          <w:szCs w:val="28"/>
        </w:rPr>
      </w:pPr>
      <w:r w:rsidRPr="009264E8">
        <w:rPr>
          <w:bCs/>
          <w:sz w:val="28"/>
          <w:szCs w:val="28"/>
        </w:rPr>
        <w:t>Iowa Webinars &amp; Supporting Materials:</w:t>
      </w:r>
    </w:p>
    <w:p w:rsidR="001D1528" w:rsidRPr="009264E8" w:rsidRDefault="001D1528" w:rsidP="009264E8">
      <w:pPr>
        <w:spacing w:before="240" w:after="240"/>
        <w:ind w:left="634"/>
        <w:rPr>
          <w:bCs/>
          <w:sz w:val="28"/>
          <w:szCs w:val="28"/>
          <w:lang w:val="en"/>
        </w:rPr>
      </w:pPr>
      <w:r w:rsidRPr="009264E8">
        <w:rPr>
          <w:bCs/>
          <w:sz w:val="28"/>
          <w:szCs w:val="28"/>
          <w:lang w:val="en"/>
        </w:rPr>
        <w:t xml:space="preserve">Part 1: </w:t>
      </w:r>
      <w:r w:rsidR="009264E8">
        <w:rPr>
          <w:bCs/>
          <w:sz w:val="28"/>
          <w:szCs w:val="28"/>
          <w:lang w:val="en"/>
        </w:rPr>
        <w:t xml:space="preserve"> </w:t>
      </w:r>
      <w:r w:rsidRPr="009264E8">
        <w:rPr>
          <w:bCs/>
          <w:sz w:val="28"/>
          <w:szCs w:val="28"/>
          <w:lang w:val="en"/>
        </w:rPr>
        <w:t>Working with Schools:  What Service Providers Need to Know</w:t>
      </w:r>
    </w:p>
    <w:p w:rsidR="00142922" w:rsidRPr="009264E8" w:rsidRDefault="001D1528" w:rsidP="009264E8">
      <w:pPr>
        <w:spacing w:before="240" w:after="240"/>
        <w:ind w:left="634"/>
        <w:rPr>
          <w:sz w:val="28"/>
          <w:szCs w:val="28"/>
        </w:rPr>
      </w:pPr>
      <w:r w:rsidRPr="009264E8">
        <w:rPr>
          <w:sz w:val="28"/>
          <w:szCs w:val="28"/>
          <w:lang w:val="en"/>
        </w:rPr>
        <w:t xml:space="preserve">Part 2: </w:t>
      </w:r>
      <w:r w:rsidR="009264E8">
        <w:rPr>
          <w:sz w:val="28"/>
          <w:szCs w:val="28"/>
          <w:lang w:val="en"/>
        </w:rPr>
        <w:t xml:space="preserve"> </w:t>
      </w:r>
      <w:r w:rsidRPr="009264E8">
        <w:rPr>
          <w:sz w:val="28"/>
          <w:szCs w:val="28"/>
          <w:lang w:val="en"/>
        </w:rPr>
        <w:t>Supporting Transition-Aged Youth:  A Deeper Look at Partner Collaboration be</w:t>
      </w:r>
      <w:r w:rsidR="00701B63" w:rsidRPr="009264E8">
        <w:rPr>
          <w:sz w:val="28"/>
          <w:szCs w:val="28"/>
          <w:lang w:val="en"/>
        </w:rPr>
        <w:t>tween Schools, CRPs, &amp; Voc</w:t>
      </w:r>
      <w:r w:rsidR="009264E8">
        <w:rPr>
          <w:sz w:val="28"/>
          <w:szCs w:val="28"/>
          <w:lang w:val="en"/>
        </w:rPr>
        <w:t>ational Rehabilitation Services</w:t>
      </w:r>
    </w:p>
    <w:sectPr w:rsidR="00142922" w:rsidRPr="009264E8" w:rsidSect="00701B63">
      <w:footerReference w:type="default" r:id="rId7"/>
      <w:headerReference w:type="firs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B6A" w:rsidRDefault="00426B6A" w:rsidP="0031691E">
      <w:pPr>
        <w:spacing w:after="0" w:line="240" w:lineRule="auto"/>
      </w:pPr>
      <w:r>
        <w:separator/>
      </w:r>
    </w:p>
  </w:endnote>
  <w:endnote w:type="continuationSeparator" w:id="0">
    <w:p w:rsidR="00426B6A" w:rsidRDefault="00426B6A" w:rsidP="00316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altName w:val="Arial"/>
    <w:panose1 w:val="020B06040202020202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egreya">
    <w:panose1 w:val="020B0604020202020204"/>
    <w:charset w:val="00"/>
    <w:family w:val="auto"/>
    <w:pitch w:val="default"/>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528" w:rsidRPr="001D1528" w:rsidRDefault="001D1528" w:rsidP="00701B63">
    <w:pPr>
      <w:pStyle w:val="Footer"/>
      <w:jc w:val="center"/>
      <w:rPr>
        <w:sz w:val="16"/>
        <w:szCs w:val="16"/>
      </w:rPr>
    </w:pPr>
    <w:r>
      <w:rPr>
        <w:sz w:val="16"/>
        <w:szCs w:val="16"/>
      </w:rPr>
      <w:t xml:space="preserve">Developed </w:t>
    </w:r>
    <w:r w:rsidR="00701B63">
      <w:rPr>
        <w:sz w:val="16"/>
        <w:szCs w:val="16"/>
      </w:rPr>
      <w:t>by the Iowa Coalition for Integration &amp; Employment through a contract with IACP’s Training and Technical Assistance Grant, February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B6A" w:rsidRDefault="00426B6A" w:rsidP="0031691E">
      <w:pPr>
        <w:spacing w:after="0" w:line="240" w:lineRule="auto"/>
      </w:pPr>
      <w:r>
        <w:separator/>
      </w:r>
    </w:p>
  </w:footnote>
  <w:footnote w:type="continuationSeparator" w:id="0">
    <w:p w:rsidR="00426B6A" w:rsidRDefault="00426B6A" w:rsidP="00316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91E" w:rsidRPr="0031691E" w:rsidRDefault="0031691E" w:rsidP="0031691E">
    <w:pPr>
      <w:tabs>
        <w:tab w:val="center" w:pos="4680"/>
        <w:tab w:val="right" w:pos="9360"/>
      </w:tabs>
      <w:spacing w:after="0" w:line="240" w:lineRule="auto"/>
      <w:jc w:val="center"/>
      <w:rPr>
        <w:rFonts w:ascii="Corbel" w:eastAsia="Arial" w:hAnsi="Corbel" w:cstheme="majorHAnsi"/>
        <w:b/>
        <w:sz w:val="28"/>
        <w:szCs w:val="28"/>
        <w:lang w:val="en"/>
      </w:rPr>
    </w:pPr>
    <w:r w:rsidRPr="0031691E">
      <w:rPr>
        <w:rFonts w:ascii="Corbel" w:eastAsia="Arial" w:hAnsi="Corbel" w:cstheme="majorHAnsi"/>
        <w:b/>
        <w:sz w:val="28"/>
        <w:szCs w:val="28"/>
        <w:lang w:val="en"/>
      </w:rPr>
      <w:t>The ABC’s of Connecting with Schools:  A Tool</w:t>
    </w:r>
    <w:r w:rsidR="003E1073">
      <w:rPr>
        <w:rFonts w:ascii="Corbel" w:eastAsia="Arial" w:hAnsi="Corbel" w:cstheme="majorHAnsi"/>
        <w:b/>
        <w:sz w:val="28"/>
        <w:szCs w:val="28"/>
        <w:lang w:val="en"/>
      </w:rPr>
      <w:t>kit</w:t>
    </w:r>
    <w:r w:rsidRPr="0031691E">
      <w:rPr>
        <w:rFonts w:ascii="Corbel" w:eastAsia="Arial" w:hAnsi="Corbel" w:cstheme="majorHAnsi"/>
        <w:b/>
        <w:sz w:val="28"/>
        <w:szCs w:val="28"/>
        <w:lang w:val="en"/>
      </w:rPr>
      <w:t xml:space="preserve"> for CRPs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715539"/>
    <w:multiLevelType w:val="multilevel"/>
    <w:tmpl w:val="6D280754"/>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55E91A3C"/>
    <w:multiLevelType w:val="multilevel"/>
    <w:tmpl w:val="49E4483C"/>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7C4D6540"/>
    <w:multiLevelType w:val="hybridMultilevel"/>
    <w:tmpl w:val="1A28F7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8362C"/>
    <w:rsid w:val="00016A5D"/>
    <w:rsid w:val="00057F88"/>
    <w:rsid w:val="000E52EF"/>
    <w:rsid w:val="00142922"/>
    <w:rsid w:val="00190ACB"/>
    <w:rsid w:val="001A3506"/>
    <w:rsid w:val="001D1528"/>
    <w:rsid w:val="001D71F7"/>
    <w:rsid w:val="001E306A"/>
    <w:rsid w:val="00220120"/>
    <w:rsid w:val="002272BA"/>
    <w:rsid w:val="002653B5"/>
    <w:rsid w:val="002D62B4"/>
    <w:rsid w:val="00313897"/>
    <w:rsid w:val="0031691E"/>
    <w:rsid w:val="00341353"/>
    <w:rsid w:val="00356EF5"/>
    <w:rsid w:val="0038362C"/>
    <w:rsid w:val="003C6C9A"/>
    <w:rsid w:val="003E1073"/>
    <w:rsid w:val="00424E39"/>
    <w:rsid w:val="00426B6A"/>
    <w:rsid w:val="00475EA6"/>
    <w:rsid w:val="004847D9"/>
    <w:rsid w:val="004B262D"/>
    <w:rsid w:val="004B3D89"/>
    <w:rsid w:val="004C3D8F"/>
    <w:rsid w:val="004E13A6"/>
    <w:rsid w:val="005272B5"/>
    <w:rsid w:val="005B7582"/>
    <w:rsid w:val="005D7CE6"/>
    <w:rsid w:val="006B11B9"/>
    <w:rsid w:val="00701B63"/>
    <w:rsid w:val="007649E8"/>
    <w:rsid w:val="007B783A"/>
    <w:rsid w:val="007C53C1"/>
    <w:rsid w:val="007D3541"/>
    <w:rsid w:val="00802D09"/>
    <w:rsid w:val="00844CAA"/>
    <w:rsid w:val="00856EB0"/>
    <w:rsid w:val="00887F4B"/>
    <w:rsid w:val="008B6CA9"/>
    <w:rsid w:val="008C43CB"/>
    <w:rsid w:val="009264E8"/>
    <w:rsid w:val="00962880"/>
    <w:rsid w:val="009646C2"/>
    <w:rsid w:val="00981E28"/>
    <w:rsid w:val="009E65B6"/>
    <w:rsid w:val="009F366E"/>
    <w:rsid w:val="009F3CB5"/>
    <w:rsid w:val="00A1632D"/>
    <w:rsid w:val="00A57702"/>
    <w:rsid w:val="00AB6E85"/>
    <w:rsid w:val="00AD2025"/>
    <w:rsid w:val="00B17C48"/>
    <w:rsid w:val="00B26446"/>
    <w:rsid w:val="00B513C7"/>
    <w:rsid w:val="00BE7066"/>
    <w:rsid w:val="00C40736"/>
    <w:rsid w:val="00C90DC4"/>
    <w:rsid w:val="00C9151E"/>
    <w:rsid w:val="00C97D99"/>
    <w:rsid w:val="00CD3BB1"/>
    <w:rsid w:val="00D1432C"/>
    <w:rsid w:val="00D51F7C"/>
    <w:rsid w:val="00D614AE"/>
    <w:rsid w:val="00D64086"/>
    <w:rsid w:val="00D92AD5"/>
    <w:rsid w:val="00DA201F"/>
    <w:rsid w:val="00DD10B2"/>
    <w:rsid w:val="00E06D05"/>
    <w:rsid w:val="00E61CC5"/>
    <w:rsid w:val="00E63580"/>
    <w:rsid w:val="00EA2189"/>
    <w:rsid w:val="00EC413A"/>
    <w:rsid w:val="00ED0D37"/>
    <w:rsid w:val="00EE54F3"/>
    <w:rsid w:val="00EF33A1"/>
    <w:rsid w:val="00F24689"/>
    <w:rsid w:val="00FF4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157D77-2854-2745-830F-01150CF2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142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6A5D"/>
    <w:rPr>
      <w:color w:val="0000FF" w:themeColor="hyperlink"/>
      <w:u w:val="single"/>
    </w:rPr>
  </w:style>
  <w:style w:type="paragraph" w:styleId="ListParagraph">
    <w:name w:val="List Paragraph"/>
    <w:basedOn w:val="Normal"/>
    <w:uiPriority w:val="34"/>
    <w:qFormat/>
    <w:rsid w:val="00D614AE"/>
    <w:pPr>
      <w:ind w:left="720"/>
      <w:contextualSpacing/>
    </w:pPr>
  </w:style>
  <w:style w:type="paragraph" w:customStyle="1" w:styleId="rteindent1">
    <w:name w:val="rteindent1"/>
    <w:basedOn w:val="Normal"/>
    <w:rsid w:val="008C43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43CB"/>
    <w:rPr>
      <w:b/>
      <w:bCs/>
    </w:rPr>
  </w:style>
  <w:style w:type="paragraph" w:styleId="Quote">
    <w:name w:val="Quote"/>
    <w:basedOn w:val="Normal"/>
    <w:next w:val="Normal"/>
    <w:link w:val="QuoteChar"/>
    <w:uiPriority w:val="29"/>
    <w:qFormat/>
    <w:rsid w:val="00844CAA"/>
    <w:pPr>
      <w:spacing w:after="200" w:line="276" w:lineRule="auto"/>
    </w:pPr>
    <w:rPr>
      <w:rFonts w:asciiTheme="minorHAnsi" w:eastAsiaTheme="minorEastAsia" w:hAnsiTheme="minorHAnsi" w:cstheme="minorBidi"/>
      <w:i/>
      <w:iCs/>
      <w:color w:val="000000" w:themeColor="text1"/>
      <w:lang w:eastAsia="ja-JP"/>
    </w:rPr>
  </w:style>
  <w:style w:type="character" w:customStyle="1" w:styleId="QuoteChar">
    <w:name w:val="Quote Char"/>
    <w:basedOn w:val="DefaultParagraphFont"/>
    <w:link w:val="Quote"/>
    <w:uiPriority w:val="29"/>
    <w:rsid w:val="00844CAA"/>
    <w:rPr>
      <w:rFonts w:asciiTheme="minorHAnsi" w:eastAsiaTheme="minorEastAsia" w:hAnsiTheme="minorHAnsi" w:cstheme="minorBidi"/>
      <w:i/>
      <w:iCs/>
      <w:color w:val="000000" w:themeColor="text1"/>
      <w:lang w:eastAsia="ja-JP"/>
    </w:rPr>
  </w:style>
  <w:style w:type="paragraph" w:styleId="BalloonText">
    <w:name w:val="Balloon Text"/>
    <w:basedOn w:val="Normal"/>
    <w:link w:val="BalloonTextChar"/>
    <w:uiPriority w:val="99"/>
    <w:semiHidden/>
    <w:unhideWhenUsed/>
    <w:rsid w:val="00844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CAA"/>
    <w:rPr>
      <w:rFonts w:ascii="Tahoma" w:hAnsi="Tahoma" w:cs="Tahoma"/>
      <w:sz w:val="16"/>
      <w:szCs w:val="16"/>
    </w:rPr>
  </w:style>
  <w:style w:type="paragraph" w:styleId="Header">
    <w:name w:val="header"/>
    <w:basedOn w:val="Normal"/>
    <w:link w:val="HeaderChar"/>
    <w:uiPriority w:val="99"/>
    <w:unhideWhenUsed/>
    <w:rsid w:val="00316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91E"/>
  </w:style>
  <w:style w:type="paragraph" w:styleId="Footer">
    <w:name w:val="footer"/>
    <w:basedOn w:val="Normal"/>
    <w:link w:val="FooterChar"/>
    <w:uiPriority w:val="99"/>
    <w:unhideWhenUsed/>
    <w:rsid w:val="00316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806320">
      <w:bodyDiv w:val="1"/>
      <w:marLeft w:val="0"/>
      <w:marRight w:val="0"/>
      <w:marTop w:val="0"/>
      <w:marBottom w:val="0"/>
      <w:divBdr>
        <w:top w:val="none" w:sz="0" w:space="0" w:color="auto"/>
        <w:left w:val="none" w:sz="0" w:space="0" w:color="auto"/>
        <w:bottom w:val="none" w:sz="0" w:space="0" w:color="auto"/>
        <w:right w:val="none" w:sz="0" w:space="0" w:color="auto"/>
      </w:divBdr>
    </w:div>
    <w:div w:id="959607161">
      <w:bodyDiv w:val="1"/>
      <w:marLeft w:val="0"/>
      <w:marRight w:val="0"/>
      <w:marTop w:val="0"/>
      <w:marBottom w:val="0"/>
      <w:divBdr>
        <w:top w:val="none" w:sz="0" w:space="0" w:color="auto"/>
        <w:left w:val="none" w:sz="0" w:space="0" w:color="auto"/>
        <w:bottom w:val="none" w:sz="0" w:space="0" w:color="auto"/>
        <w:right w:val="none" w:sz="0" w:space="0" w:color="auto"/>
      </w:divBdr>
    </w:div>
    <w:div w:id="1428843292">
      <w:bodyDiv w:val="1"/>
      <w:marLeft w:val="0"/>
      <w:marRight w:val="0"/>
      <w:marTop w:val="0"/>
      <w:marBottom w:val="0"/>
      <w:divBdr>
        <w:top w:val="none" w:sz="0" w:space="0" w:color="auto"/>
        <w:left w:val="none" w:sz="0" w:space="0" w:color="auto"/>
        <w:bottom w:val="none" w:sz="0" w:space="0" w:color="auto"/>
        <w:right w:val="none" w:sz="0" w:space="0" w:color="auto"/>
      </w:divBdr>
    </w:div>
    <w:div w:id="1434781903">
      <w:bodyDiv w:val="1"/>
      <w:marLeft w:val="0"/>
      <w:marRight w:val="0"/>
      <w:marTop w:val="0"/>
      <w:marBottom w:val="0"/>
      <w:divBdr>
        <w:top w:val="none" w:sz="0" w:space="0" w:color="auto"/>
        <w:left w:val="none" w:sz="0" w:space="0" w:color="auto"/>
        <w:bottom w:val="none" w:sz="0" w:space="0" w:color="auto"/>
        <w:right w:val="none" w:sz="0" w:space="0" w:color="auto"/>
      </w:divBdr>
    </w:div>
    <w:div w:id="1680351350">
      <w:bodyDiv w:val="1"/>
      <w:marLeft w:val="0"/>
      <w:marRight w:val="0"/>
      <w:marTop w:val="0"/>
      <w:marBottom w:val="0"/>
      <w:divBdr>
        <w:top w:val="none" w:sz="0" w:space="0" w:color="auto"/>
        <w:left w:val="none" w:sz="0" w:space="0" w:color="auto"/>
        <w:bottom w:val="none" w:sz="0" w:space="0" w:color="auto"/>
        <w:right w:val="none" w:sz="0" w:space="0" w:color="auto"/>
      </w:divBdr>
    </w:div>
    <w:div w:id="1935698524">
      <w:bodyDiv w:val="1"/>
      <w:marLeft w:val="0"/>
      <w:marRight w:val="0"/>
      <w:marTop w:val="0"/>
      <w:marBottom w:val="0"/>
      <w:divBdr>
        <w:top w:val="none" w:sz="0" w:space="0" w:color="auto"/>
        <w:left w:val="none" w:sz="0" w:space="0" w:color="auto"/>
        <w:bottom w:val="none" w:sz="0" w:space="0" w:color="auto"/>
        <w:right w:val="none" w:sz="0" w:space="0" w:color="auto"/>
      </w:divBdr>
    </w:div>
    <w:div w:id="1978754142">
      <w:bodyDiv w:val="1"/>
      <w:marLeft w:val="0"/>
      <w:marRight w:val="0"/>
      <w:marTop w:val="0"/>
      <w:marBottom w:val="0"/>
      <w:divBdr>
        <w:top w:val="none" w:sz="0" w:space="0" w:color="auto"/>
        <w:left w:val="none" w:sz="0" w:space="0" w:color="auto"/>
        <w:bottom w:val="none" w:sz="0" w:space="0" w:color="auto"/>
        <w:right w:val="none" w:sz="0" w:space="0" w:color="auto"/>
      </w:divBdr>
    </w:div>
    <w:div w:id="2066759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cp:lastModifiedBy>
  <cp:revision>2</cp:revision>
  <cp:lastPrinted>2019-02-28T16:59:00Z</cp:lastPrinted>
  <dcterms:created xsi:type="dcterms:W3CDTF">2019-02-28T23:31:00Z</dcterms:created>
  <dcterms:modified xsi:type="dcterms:W3CDTF">2019-02-28T23:31:00Z</dcterms:modified>
</cp:coreProperties>
</file>